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810F" w14:textId="69C8778A" w:rsidR="00EE112E" w:rsidRPr="00041459" w:rsidRDefault="00EE112E" w:rsidP="00EE112E">
      <w:pPr>
        <w:pStyle w:val="Kop1"/>
        <w:spacing w:after="0"/>
      </w:pPr>
      <w:bookmarkStart w:id="0" w:name="_Toc191927622"/>
      <w:bookmarkStart w:id="1" w:name="_Toc191932943"/>
      <w:bookmarkStart w:id="2" w:name="_Toc191933209"/>
      <w:bookmarkStart w:id="3" w:name="_Toc191933279"/>
      <w:bookmarkStart w:id="4" w:name="_Toc191934537"/>
      <w:bookmarkStart w:id="5" w:name="_Toc191934672"/>
      <w:bookmarkStart w:id="6" w:name="_Toc191934789"/>
      <w:bookmarkStart w:id="7" w:name="_Toc192452832"/>
      <w:bookmarkStart w:id="8" w:name="_Toc192456068"/>
      <w:bookmarkStart w:id="9" w:name="_Toc192456351"/>
      <w:bookmarkStart w:id="10" w:name="_Toc192456739"/>
      <w:bookmarkStart w:id="11" w:name="_Toc192456784"/>
      <w:bookmarkStart w:id="12" w:name="_Toc192457168"/>
      <w:r>
        <w:t xml:space="preserve">Opdracht </w:t>
      </w:r>
      <w:bookmarkEnd w:id="0"/>
      <w:bookmarkEnd w:id="1"/>
      <w:bookmarkEnd w:id="2"/>
      <w:bookmarkEnd w:id="3"/>
      <w:bookmarkEnd w:id="4"/>
      <w:bookmarkEnd w:id="5"/>
      <w:bookmarkEnd w:id="6"/>
      <w:bookmarkEnd w:id="7"/>
      <w:bookmarkEnd w:id="8"/>
      <w:bookmarkEnd w:id="9"/>
      <w:bookmarkEnd w:id="10"/>
      <w:bookmarkEnd w:id="11"/>
      <w:r>
        <w:t>2</w:t>
      </w:r>
      <w:bookmarkEnd w:id="12"/>
    </w:p>
    <w:p w14:paraId="129D3F51" w14:textId="3E9DED94" w:rsidR="00EE112E" w:rsidRPr="00041459" w:rsidRDefault="00A84337" w:rsidP="00EE112E">
      <w:pPr>
        <w:spacing w:after="0"/>
        <w:rPr>
          <w:rFonts w:ascii="Arial" w:hAnsi="Arial" w:cs="Arial"/>
        </w:rPr>
      </w:pPr>
      <w:r w:rsidRPr="00A84337">
        <w:rPr>
          <w:rFonts w:asciiTheme="majorHAnsi" w:eastAsiaTheme="majorEastAsia" w:hAnsiTheme="majorHAnsi" w:cstheme="majorBidi"/>
          <w:color w:val="0F4761" w:themeColor="accent1" w:themeShade="BF"/>
          <w:sz w:val="32"/>
          <w:szCs w:val="32"/>
        </w:rPr>
        <w:t>Analyse van het onderzoek naar het verraad van Anne Frank</w:t>
      </w:r>
    </w:p>
    <w:p w14:paraId="01DD11F1" w14:textId="77777777" w:rsidR="00A84337" w:rsidRPr="00031C20" w:rsidRDefault="00A84337" w:rsidP="00EE112E">
      <w:pPr>
        <w:spacing w:after="0"/>
        <w:rPr>
          <w:rFonts w:ascii="Arial" w:hAnsi="Arial" w:cs="Arial"/>
          <w:b/>
          <w:bCs/>
        </w:rPr>
      </w:pPr>
    </w:p>
    <w:p w14:paraId="3592B8DA" w14:textId="267216AF" w:rsidR="00EE112E" w:rsidRPr="00A84337" w:rsidRDefault="00EE112E" w:rsidP="00EE112E">
      <w:pPr>
        <w:spacing w:after="0"/>
        <w:rPr>
          <w:rFonts w:ascii="Arial" w:hAnsi="Arial" w:cs="Arial"/>
          <w:b/>
          <w:bCs/>
          <w:lang w:val="en-US"/>
        </w:rPr>
      </w:pPr>
      <w:r w:rsidRPr="00A84337">
        <w:rPr>
          <w:rFonts w:ascii="Arial" w:hAnsi="Arial" w:cs="Arial"/>
          <w:b/>
          <w:bCs/>
          <w:lang w:val="en-US"/>
        </w:rPr>
        <w:t>ICT.D</w:t>
      </w:r>
      <w:proofErr w:type="gramStart"/>
      <w:r w:rsidRPr="00A84337">
        <w:rPr>
          <w:rFonts w:ascii="Arial" w:hAnsi="Arial" w:cs="Arial"/>
          <w:b/>
          <w:bCs/>
          <w:lang w:val="en-US"/>
        </w:rPr>
        <w:t>5.X.</w:t>
      </w:r>
      <w:proofErr w:type="gramEnd"/>
      <w:r w:rsidRPr="00A84337">
        <w:rPr>
          <w:rFonts w:ascii="Arial" w:hAnsi="Arial" w:cs="Arial"/>
          <w:b/>
          <w:bCs/>
          <w:lang w:val="en-US"/>
        </w:rPr>
        <w:t>22 Security Privacy Ethiek (24/25)</w:t>
      </w:r>
    </w:p>
    <w:p w14:paraId="58CA6666" w14:textId="77777777" w:rsidR="00EE112E" w:rsidRPr="00A84337" w:rsidRDefault="00EE112E" w:rsidP="00EE112E">
      <w:pPr>
        <w:spacing w:after="0"/>
        <w:rPr>
          <w:rFonts w:ascii="Arial" w:hAnsi="Arial" w:cs="Arial"/>
          <w:b/>
          <w:bCs/>
          <w:lang w:val="en-US"/>
        </w:rPr>
      </w:pPr>
    </w:p>
    <w:p w14:paraId="67C743C6" w14:textId="77777777" w:rsidR="00EE112E" w:rsidRPr="00A90FA3" w:rsidRDefault="00EE112E" w:rsidP="00EE112E">
      <w:pPr>
        <w:spacing w:after="0"/>
        <w:rPr>
          <w:rFonts w:ascii="Arial" w:hAnsi="Arial" w:cs="Arial"/>
        </w:rPr>
      </w:pPr>
      <w:r w:rsidRPr="00A2535D">
        <w:rPr>
          <w:rFonts w:ascii="Arial" w:hAnsi="Arial" w:cs="Arial"/>
          <w:b/>
          <w:bCs/>
        </w:rPr>
        <w:t>Naam</w:t>
      </w:r>
      <w:r>
        <w:rPr>
          <w:rFonts w:ascii="Arial" w:hAnsi="Arial" w:cs="Arial"/>
        </w:rPr>
        <w:t>: René Posthuma Linthorst</w:t>
      </w:r>
    </w:p>
    <w:p w14:paraId="627FF245" w14:textId="77777777" w:rsidR="00EE112E" w:rsidRDefault="00EE112E" w:rsidP="00EE112E">
      <w:pPr>
        <w:spacing w:after="0"/>
        <w:rPr>
          <w:rFonts w:ascii="Arial" w:hAnsi="Arial" w:cs="Arial"/>
        </w:rPr>
      </w:pPr>
      <w:r w:rsidRPr="00A2535D">
        <w:rPr>
          <w:rFonts w:ascii="Arial" w:hAnsi="Arial" w:cs="Arial"/>
          <w:b/>
          <w:bCs/>
        </w:rPr>
        <w:t>Studentnummer</w:t>
      </w:r>
      <w:r w:rsidRPr="00A90FA3">
        <w:rPr>
          <w:rFonts w:ascii="Arial" w:hAnsi="Arial" w:cs="Arial"/>
        </w:rPr>
        <w:t>: S1163042</w:t>
      </w:r>
    </w:p>
    <w:p w14:paraId="617E3E1F" w14:textId="77777777" w:rsidR="00EE112E" w:rsidRDefault="00EE112E" w:rsidP="00EE112E">
      <w:pPr>
        <w:spacing w:after="0"/>
        <w:rPr>
          <w:rFonts w:ascii="Arial" w:hAnsi="Arial" w:cs="Arial"/>
        </w:rPr>
      </w:pPr>
      <w:r w:rsidRPr="00A2535D">
        <w:rPr>
          <w:rFonts w:ascii="Arial" w:hAnsi="Arial" w:cs="Arial"/>
          <w:b/>
          <w:bCs/>
        </w:rPr>
        <w:t>Opleiding</w:t>
      </w:r>
      <w:r>
        <w:rPr>
          <w:rFonts w:ascii="Arial" w:hAnsi="Arial" w:cs="Arial"/>
        </w:rPr>
        <w:t>: Docent ICT, zij-instromer</w:t>
      </w:r>
    </w:p>
    <w:p w14:paraId="43220B2C" w14:textId="77777777" w:rsidR="00EE112E" w:rsidRDefault="00EE112E" w:rsidP="00EE112E">
      <w:pPr>
        <w:spacing w:after="0"/>
        <w:rPr>
          <w:rFonts w:ascii="Arial" w:hAnsi="Arial" w:cs="Arial"/>
        </w:rPr>
      </w:pPr>
      <w:r w:rsidRPr="00A2535D">
        <w:rPr>
          <w:rFonts w:ascii="Arial" w:hAnsi="Arial" w:cs="Arial"/>
          <w:b/>
          <w:bCs/>
        </w:rPr>
        <w:t>Docent</w:t>
      </w:r>
      <w:r w:rsidRPr="00A90FA3">
        <w:rPr>
          <w:rFonts w:ascii="Arial" w:hAnsi="Arial" w:cs="Arial"/>
        </w:rPr>
        <w:t xml:space="preserve">: </w:t>
      </w:r>
      <w:r>
        <w:rPr>
          <w:rFonts w:ascii="Arial" w:hAnsi="Arial" w:cs="Arial"/>
        </w:rPr>
        <w:t>J. Verbaan</w:t>
      </w:r>
    </w:p>
    <w:p w14:paraId="199AAAA0" w14:textId="77777777" w:rsidR="00EE112E" w:rsidRDefault="00EE112E">
      <w:pPr>
        <w:rPr>
          <w:rFonts w:ascii="Calibri" w:hAnsi="Calibri" w:cs="Calibri"/>
          <w:b/>
          <w:bCs/>
        </w:rPr>
      </w:pPr>
      <w:r>
        <w:rPr>
          <w:rFonts w:ascii="Calibri" w:hAnsi="Calibri" w:cs="Calibri"/>
          <w:b/>
          <w:bCs/>
        </w:rPr>
        <w:br w:type="page"/>
      </w:r>
    </w:p>
    <w:sdt>
      <w:sdtPr>
        <w:rPr>
          <w:rFonts w:asciiTheme="minorHAnsi" w:eastAsiaTheme="minorEastAsia" w:hAnsiTheme="minorHAnsi" w:cstheme="minorBidi"/>
          <w:color w:val="auto"/>
          <w:sz w:val="24"/>
          <w:szCs w:val="24"/>
          <w14:ligatures w14:val="standardContextual"/>
        </w:rPr>
        <w:id w:val="1962990278"/>
        <w:docPartObj>
          <w:docPartGallery w:val="Table of Contents"/>
          <w:docPartUnique/>
        </w:docPartObj>
      </w:sdtPr>
      <w:sdtEndPr>
        <w:rPr>
          <w:b/>
          <w:bCs/>
        </w:rPr>
      </w:sdtEndPr>
      <w:sdtContent>
        <w:p w14:paraId="259C1D5F" w14:textId="2EC690CC" w:rsidR="00BE0143" w:rsidRDefault="00BE0143">
          <w:pPr>
            <w:pStyle w:val="Kopvaninhoudsopgave"/>
          </w:pPr>
          <w:r>
            <w:t>Inhoud</w:t>
          </w:r>
          <w:r w:rsidR="002E781C">
            <w:t>sopgave</w:t>
          </w:r>
        </w:p>
        <w:p w14:paraId="08981399" w14:textId="1FE4DBE6" w:rsidR="00BE0143" w:rsidRDefault="00BE0143">
          <w:pPr>
            <w:pStyle w:val="Inhopg1"/>
            <w:tabs>
              <w:tab w:val="right" w:leader="dot" w:pos="9016"/>
            </w:tabs>
            <w:rPr>
              <w:noProof/>
            </w:rPr>
          </w:pPr>
          <w:r>
            <w:fldChar w:fldCharType="begin"/>
          </w:r>
          <w:r>
            <w:instrText xml:space="preserve"> TOC \o "1-3" \h \z \u </w:instrText>
          </w:r>
          <w:r>
            <w:fldChar w:fldCharType="separate"/>
          </w:r>
        </w:p>
        <w:p w14:paraId="4D3490D3" w14:textId="109B575D" w:rsidR="00BE0143" w:rsidRDefault="00BE0143">
          <w:pPr>
            <w:pStyle w:val="Inhopg3"/>
            <w:tabs>
              <w:tab w:val="right" w:leader="dot" w:pos="9016"/>
            </w:tabs>
            <w:rPr>
              <w:noProof/>
            </w:rPr>
          </w:pPr>
          <w:hyperlink w:anchor="_Toc192457169" w:history="1">
            <w:r w:rsidRPr="00913EDA">
              <w:rPr>
                <w:rStyle w:val="Hyperlink"/>
                <w:noProof/>
              </w:rPr>
              <w:t>1. Het artikel: betrouwbaarheid en impact</w:t>
            </w:r>
            <w:r>
              <w:rPr>
                <w:noProof/>
                <w:webHidden/>
              </w:rPr>
              <w:tab/>
            </w:r>
            <w:r>
              <w:rPr>
                <w:noProof/>
                <w:webHidden/>
              </w:rPr>
              <w:fldChar w:fldCharType="begin"/>
            </w:r>
            <w:r>
              <w:rPr>
                <w:noProof/>
                <w:webHidden/>
              </w:rPr>
              <w:instrText xml:space="preserve"> PAGEREF _Toc192457169 \h </w:instrText>
            </w:r>
            <w:r>
              <w:rPr>
                <w:noProof/>
                <w:webHidden/>
              </w:rPr>
            </w:r>
            <w:r>
              <w:rPr>
                <w:noProof/>
                <w:webHidden/>
              </w:rPr>
              <w:fldChar w:fldCharType="separate"/>
            </w:r>
            <w:r>
              <w:rPr>
                <w:noProof/>
                <w:webHidden/>
              </w:rPr>
              <w:t>3</w:t>
            </w:r>
            <w:r>
              <w:rPr>
                <w:noProof/>
                <w:webHidden/>
              </w:rPr>
              <w:fldChar w:fldCharType="end"/>
            </w:r>
          </w:hyperlink>
        </w:p>
        <w:p w14:paraId="74A4C9FD" w14:textId="0CE1025D" w:rsidR="00BE0143" w:rsidRDefault="00BE0143">
          <w:pPr>
            <w:pStyle w:val="Inhopg3"/>
            <w:tabs>
              <w:tab w:val="right" w:leader="dot" w:pos="9016"/>
            </w:tabs>
            <w:rPr>
              <w:noProof/>
            </w:rPr>
          </w:pPr>
          <w:hyperlink w:anchor="_Toc192457170" w:history="1">
            <w:r w:rsidRPr="00913EDA">
              <w:rPr>
                <w:rStyle w:val="Hyperlink"/>
                <w:noProof/>
              </w:rPr>
              <w:t>2. Arnold van den Bergh en de Joodse Raad: overleven onder terreur</w:t>
            </w:r>
            <w:r>
              <w:rPr>
                <w:noProof/>
                <w:webHidden/>
              </w:rPr>
              <w:tab/>
            </w:r>
            <w:r>
              <w:rPr>
                <w:noProof/>
                <w:webHidden/>
              </w:rPr>
              <w:fldChar w:fldCharType="begin"/>
            </w:r>
            <w:r>
              <w:rPr>
                <w:noProof/>
                <w:webHidden/>
              </w:rPr>
              <w:instrText xml:space="preserve"> PAGEREF _Toc192457170 \h </w:instrText>
            </w:r>
            <w:r>
              <w:rPr>
                <w:noProof/>
                <w:webHidden/>
              </w:rPr>
            </w:r>
            <w:r>
              <w:rPr>
                <w:noProof/>
                <w:webHidden/>
              </w:rPr>
              <w:fldChar w:fldCharType="separate"/>
            </w:r>
            <w:r>
              <w:rPr>
                <w:noProof/>
                <w:webHidden/>
              </w:rPr>
              <w:t>3</w:t>
            </w:r>
            <w:r>
              <w:rPr>
                <w:noProof/>
                <w:webHidden/>
              </w:rPr>
              <w:fldChar w:fldCharType="end"/>
            </w:r>
          </w:hyperlink>
        </w:p>
        <w:p w14:paraId="70E5D8DB" w14:textId="11CFE3D2" w:rsidR="00BE0143" w:rsidRDefault="00BE0143">
          <w:pPr>
            <w:pStyle w:val="Inhopg3"/>
            <w:tabs>
              <w:tab w:val="right" w:leader="dot" w:pos="9016"/>
            </w:tabs>
            <w:rPr>
              <w:noProof/>
            </w:rPr>
          </w:pPr>
          <w:hyperlink w:anchor="_Toc192457171" w:history="1">
            <w:r w:rsidRPr="00913EDA">
              <w:rPr>
                <w:rStyle w:val="Hyperlink"/>
                <w:noProof/>
              </w:rPr>
              <w:t>3. Het onderzoek en de AVG</w:t>
            </w:r>
            <w:r>
              <w:rPr>
                <w:noProof/>
                <w:webHidden/>
              </w:rPr>
              <w:tab/>
            </w:r>
            <w:r>
              <w:rPr>
                <w:noProof/>
                <w:webHidden/>
              </w:rPr>
              <w:fldChar w:fldCharType="begin"/>
            </w:r>
            <w:r>
              <w:rPr>
                <w:noProof/>
                <w:webHidden/>
              </w:rPr>
              <w:instrText xml:space="preserve"> PAGEREF _Toc192457171 \h </w:instrText>
            </w:r>
            <w:r>
              <w:rPr>
                <w:noProof/>
                <w:webHidden/>
              </w:rPr>
            </w:r>
            <w:r>
              <w:rPr>
                <w:noProof/>
                <w:webHidden/>
              </w:rPr>
              <w:fldChar w:fldCharType="separate"/>
            </w:r>
            <w:r>
              <w:rPr>
                <w:noProof/>
                <w:webHidden/>
              </w:rPr>
              <w:t>3</w:t>
            </w:r>
            <w:r>
              <w:rPr>
                <w:noProof/>
                <w:webHidden/>
              </w:rPr>
              <w:fldChar w:fldCharType="end"/>
            </w:r>
          </w:hyperlink>
        </w:p>
        <w:p w14:paraId="3CBD43C4" w14:textId="2A1D9F5D" w:rsidR="00BE0143" w:rsidRDefault="00BE0143">
          <w:pPr>
            <w:pStyle w:val="Inhopg3"/>
            <w:tabs>
              <w:tab w:val="right" w:leader="dot" w:pos="9016"/>
            </w:tabs>
            <w:rPr>
              <w:noProof/>
            </w:rPr>
          </w:pPr>
          <w:hyperlink w:anchor="_Toc192457172" w:history="1">
            <w:r w:rsidRPr="00913EDA">
              <w:rPr>
                <w:rStyle w:val="Hyperlink"/>
                <w:noProof/>
              </w:rPr>
              <w:t>4. Juridische vraag: had dit nog vervolgd kunnen worden?</w:t>
            </w:r>
            <w:r>
              <w:rPr>
                <w:noProof/>
                <w:webHidden/>
              </w:rPr>
              <w:tab/>
            </w:r>
            <w:r>
              <w:rPr>
                <w:noProof/>
                <w:webHidden/>
              </w:rPr>
              <w:fldChar w:fldCharType="begin"/>
            </w:r>
            <w:r>
              <w:rPr>
                <w:noProof/>
                <w:webHidden/>
              </w:rPr>
              <w:instrText xml:space="preserve"> PAGEREF _Toc192457172 \h </w:instrText>
            </w:r>
            <w:r>
              <w:rPr>
                <w:noProof/>
                <w:webHidden/>
              </w:rPr>
            </w:r>
            <w:r>
              <w:rPr>
                <w:noProof/>
                <w:webHidden/>
              </w:rPr>
              <w:fldChar w:fldCharType="separate"/>
            </w:r>
            <w:r>
              <w:rPr>
                <w:noProof/>
                <w:webHidden/>
              </w:rPr>
              <w:t>4</w:t>
            </w:r>
            <w:r>
              <w:rPr>
                <w:noProof/>
                <w:webHidden/>
              </w:rPr>
              <w:fldChar w:fldCharType="end"/>
            </w:r>
          </w:hyperlink>
        </w:p>
        <w:p w14:paraId="43DD99EF" w14:textId="5FB40E69" w:rsidR="00BE0143" w:rsidRDefault="00BE0143">
          <w:pPr>
            <w:pStyle w:val="Inhopg3"/>
            <w:tabs>
              <w:tab w:val="right" w:leader="dot" w:pos="9016"/>
            </w:tabs>
            <w:rPr>
              <w:noProof/>
            </w:rPr>
          </w:pPr>
          <w:hyperlink w:anchor="_Toc192457173" w:history="1">
            <w:r w:rsidRPr="00913EDA">
              <w:rPr>
                <w:rStyle w:val="Hyperlink"/>
                <w:noProof/>
              </w:rPr>
              <w:t>5. Ethisch perspectief: had dit gepubliceerd moeten worden?</w:t>
            </w:r>
            <w:r>
              <w:rPr>
                <w:noProof/>
                <w:webHidden/>
              </w:rPr>
              <w:tab/>
            </w:r>
            <w:r>
              <w:rPr>
                <w:noProof/>
                <w:webHidden/>
              </w:rPr>
              <w:fldChar w:fldCharType="begin"/>
            </w:r>
            <w:r>
              <w:rPr>
                <w:noProof/>
                <w:webHidden/>
              </w:rPr>
              <w:instrText xml:space="preserve"> PAGEREF _Toc192457173 \h </w:instrText>
            </w:r>
            <w:r>
              <w:rPr>
                <w:noProof/>
                <w:webHidden/>
              </w:rPr>
            </w:r>
            <w:r>
              <w:rPr>
                <w:noProof/>
                <w:webHidden/>
              </w:rPr>
              <w:fldChar w:fldCharType="separate"/>
            </w:r>
            <w:r>
              <w:rPr>
                <w:noProof/>
                <w:webHidden/>
              </w:rPr>
              <w:t>4</w:t>
            </w:r>
            <w:r>
              <w:rPr>
                <w:noProof/>
                <w:webHidden/>
              </w:rPr>
              <w:fldChar w:fldCharType="end"/>
            </w:r>
          </w:hyperlink>
        </w:p>
        <w:p w14:paraId="27673699" w14:textId="0E62B44E" w:rsidR="00BE0143" w:rsidRDefault="00BE0143">
          <w:pPr>
            <w:pStyle w:val="Inhopg3"/>
            <w:tabs>
              <w:tab w:val="right" w:leader="dot" w:pos="9016"/>
            </w:tabs>
            <w:rPr>
              <w:noProof/>
            </w:rPr>
          </w:pPr>
          <w:hyperlink w:anchor="_Toc192457174" w:history="1">
            <w:r w:rsidRPr="00913EDA">
              <w:rPr>
                <w:rStyle w:val="Hyperlink"/>
                <w:noProof/>
              </w:rPr>
              <w:t>Mijn mening:</w:t>
            </w:r>
            <w:r>
              <w:rPr>
                <w:noProof/>
                <w:webHidden/>
              </w:rPr>
              <w:tab/>
            </w:r>
            <w:r>
              <w:rPr>
                <w:noProof/>
                <w:webHidden/>
              </w:rPr>
              <w:fldChar w:fldCharType="begin"/>
            </w:r>
            <w:r>
              <w:rPr>
                <w:noProof/>
                <w:webHidden/>
              </w:rPr>
              <w:instrText xml:space="preserve"> PAGEREF _Toc192457174 \h </w:instrText>
            </w:r>
            <w:r>
              <w:rPr>
                <w:noProof/>
                <w:webHidden/>
              </w:rPr>
            </w:r>
            <w:r>
              <w:rPr>
                <w:noProof/>
                <w:webHidden/>
              </w:rPr>
              <w:fldChar w:fldCharType="separate"/>
            </w:r>
            <w:r>
              <w:rPr>
                <w:noProof/>
                <w:webHidden/>
              </w:rPr>
              <w:t>5</w:t>
            </w:r>
            <w:r>
              <w:rPr>
                <w:noProof/>
                <w:webHidden/>
              </w:rPr>
              <w:fldChar w:fldCharType="end"/>
            </w:r>
          </w:hyperlink>
        </w:p>
        <w:p w14:paraId="711F8CC4" w14:textId="7BABDF43" w:rsidR="00BE0143" w:rsidRDefault="00BE0143">
          <w:r>
            <w:rPr>
              <w:b/>
              <w:bCs/>
            </w:rPr>
            <w:fldChar w:fldCharType="end"/>
          </w:r>
        </w:p>
      </w:sdtContent>
    </w:sdt>
    <w:p w14:paraId="16B9A9D5" w14:textId="77777777" w:rsidR="00BE0143" w:rsidRDefault="00BE0143">
      <w:pPr>
        <w:rPr>
          <w:rFonts w:eastAsiaTheme="majorEastAsia" w:cstheme="majorBidi"/>
          <w:color w:val="0F4761" w:themeColor="accent1" w:themeShade="BF"/>
          <w:sz w:val="28"/>
          <w:szCs w:val="28"/>
        </w:rPr>
      </w:pPr>
      <w:r>
        <w:br w:type="page"/>
      </w:r>
    </w:p>
    <w:p w14:paraId="45EE28B5" w14:textId="76B0E70D" w:rsidR="00031C20" w:rsidRDefault="00031C20" w:rsidP="00E147CC">
      <w:pPr>
        <w:pStyle w:val="Kop3"/>
      </w:pPr>
      <w:bookmarkStart w:id="13" w:name="_Toc192457169"/>
      <w:r>
        <w:lastRenderedPageBreak/>
        <w:t>Lesdoelen</w:t>
      </w:r>
    </w:p>
    <w:p w14:paraId="142399C1" w14:textId="77777777" w:rsidR="00031C20" w:rsidRDefault="00031C20" w:rsidP="00031C20">
      <w:pPr>
        <w:spacing w:after="0"/>
      </w:pPr>
      <w:r>
        <w:t>Je kunt:</w:t>
      </w:r>
    </w:p>
    <w:p w14:paraId="34CE48BF" w14:textId="77777777" w:rsidR="00031C20" w:rsidRPr="00031C20" w:rsidRDefault="00031C20" w:rsidP="00EE0BFE">
      <w:pPr>
        <w:pStyle w:val="Kop4"/>
      </w:pPr>
      <w:r w:rsidRPr="00031C20">
        <w:t>Het doel en toepassing van de AVG beschrijven.</w:t>
      </w:r>
    </w:p>
    <w:p w14:paraId="57F7D6A1" w14:textId="22F29E13" w:rsidR="00031C20" w:rsidRDefault="00CA65FB" w:rsidP="00031C20">
      <w:pPr>
        <w:spacing w:after="0"/>
      </w:pPr>
      <w:r w:rsidRPr="00CA65FB">
        <w:t>De AVG (Algemene Verordening Gegevensbescherming) is een wet die ervoor zorgt dat jouw persoonlijke gegevens goed worden beschermd. Het doel van de AVG is om privacy te waarborgen, zodat bedrijven of organisaties zorgvuldig omgaan met jouw gegevens. Dit betekent dat ze niet zomaar je gegevens mogen gebruiken of delen zonder toestemming, en ze moeten zorgen voor veilige opslag van je gegevens.</w:t>
      </w:r>
    </w:p>
    <w:p w14:paraId="34A98B7E" w14:textId="77777777" w:rsidR="00CA65FB" w:rsidRDefault="00CA65FB" w:rsidP="00031C20">
      <w:pPr>
        <w:spacing w:after="0"/>
      </w:pPr>
    </w:p>
    <w:p w14:paraId="68C993BD" w14:textId="77777777" w:rsidR="00031C20" w:rsidRPr="00031C20" w:rsidRDefault="00031C20" w:rsidP="00EE0BFE">
      <w:pPr>
        <w:pStyle w:val="Kop4"/>
      </w:pPr>
      <w:r w:rsidRPr="00031C20">
        <w:t>Beschrijven wat bijzondere persoonsgegevens zijn en hiervan 5 voorbeelden benoemen.</w:t>
      </w:r>
    </w:p>
    <w:p w14:paraId="56A13300" w14:textId="77777777" w:rsidR="00CA65FB" w:rsidRDefault="00CA65FB" w:rsidP="00CA65FB">
      <w:pPr>
        <w:spacing w:after="0"/>
      </w:pPr>
      <w:r>
        <w:t>Bijzondere persoonsgegevens zijn gegevens die extra bescherming nodig hebben omdat ze gevoeliger zijn dan gewone gegevens. Voorbeelden van bijzondere persoonsgegevens zijn:</w:t>
      </w:r>
    </w:p>
    <w:p w14:paraId="012E7898" w14:textId="77777777" w:rsidR="00CA65FB" w:rsidRDefault="00CA65FB" w:rsidP="00CA65FB">
      <w:pPr>
        <w:spacing w:after="0"/>
      </w:pPr>
    </w:p>
    <w:p w14:paraId="6ED520C7" w14:textId="77777777" w:rsidR="00CA65FB" w:rsidRDefault="00CA65FB" w:rsidP="000B7609">
      <w:pPr>
        <w:pStyle w:val="Lijstalinea"/>
        <w:numPr>
          <w:ilvl w:val="0"/>
          <w:numId w:val="4"/>
        </w:numPr>
        <w:spacing w:after="0"/>
      </w:pPr>
      <w:r>
        <w:t>Raciale of etnische afkomst</w:t>
      </w:r>
    </w:p>
    <w:p w14:paraId="01577007" w14:textId="77777777" w:rsidR="00CA65FB" w:rsidRDefault="00CA65FB" w:rsidP="000B7609">
      <w:pPr>
        <w:pStyle w:val="Lijstalinea"/>
        <w:numPr>
          <w:ilvl w:val="0"/>
          <w:numId w:val="4"/>
        </w:numPr>
        <w:spacing w:after="0"/>
      </w:pPr>
      <w:r>
        <w:t>Gezondheidsgegevens</w:t>
      </w:r>
    </w:p>
    <w:p w14:paraId="1271739E" w14:textId="77777777" w:rsidR="00CA65FB" w:rsidRDefault="00CA65FB" w:rsidP="000B7609">
      <w:pPr>
        <w:pStyle w:val="Lijstalinea"/>
        <w:numPr>
          <w:ilvl w:val="0"/>
          <w:numId w:val="4"/>
        </w:numPr>
        <w:spacing w:after="0"/>
      </w:pPr>
      <w:r>
        <w:t>Religieuze of levensbeschouwelijke overtuigingen</w:t>
      </w:r>
    </w:p>
    <w:p w14:paraId="256D3B49" w14:textId="77777777" w:rsidR="00CA65FB" w:rsidRDefault="00CA65FB" w:rsidP="000B7609">
      <w:pPr>
        <w:pStyle w:val="Lijstalinea"/>
        <w:numPr>
          <w:ilvl w:val="0"/>
          <w:numId w:val="4"/>
        </w:numPr>
        <w:spacing w:after="0"/>
      </w:pPr>
      <w:r>
        <w:t>Politieke opvattingen</w:t>
      </w:r>
    </w:p>
    <w:p w14:paraId="2B0DCB1C" w14:textId="6A88180D" w:rsidR="00031C20" w:rsidRDefault="00CA65FB" w:rsidP="000B7609">
      <w:pPr>
        <w:pStyle w:val="Lijstalinea"/>
        <w:numPr>
          <w:ilvl w:val="0"/>
          <w:numId w:val="4"/>
        </w:numPr>
        <w:spacing w:after="0"/>
      </w:pPr>
      <w:r>
        <w:t>Gegevens over iemands seksueel gedrag of seksuele voorkeur</w:t>
      </w:r>
    </w:p>
    <w:p w14:paraId="6119D985" w14:textId="77777777" w:rsidR="00CA65FB" w:rsidRDefault="00CA65FB" w:rsidP="00031C20">
      <w:pPr>
        <w:spacing w:after="0"/>
      </w:pPr>
    </w:p>
    <w:p w14:paraId="18359706" w14:textId="77777777" w:rsidR="00031C20" w:rsidRPr="00031C20" w:rsidRDefault="00031C20" w:rsidP="00EE0BFE">
      <w:pPr>
        <w:pStyle w:val="Kop4"/>
      </w:pPr>
      <w:r w:rsidRPr="00031C20">
        <w:t>De definitie van een Juridische grondslagen benoemen en toelichting geven op de 6 juridische grondslagen van de AVG.</w:t>
      </w:r>
    </w:p>
    <w:p w14:paraId="6D2F5A5F" w14:textId="77777777" w:rsidR="004C5D9D" w:rsidRDefault="004C5D9D" w:rsidP="004C5D9D">
      <w:pPr>
        <w:spacing w:after="0"/>
      </w:pPr>
      <w:r>
        <w:t>De juridische grondslagen zijn de redenen waarom een organisatie persoonsgegevens mag verzamelen of gebruiken. De 6 juridische grondslagen van de AVG zijn:</w:t>
      </w:r>
    </w:p>
    <w:p w14:paraId="4CAAE3D9" w14:textId="77777777" w:rsidR="004C5D9D" w:rsidRDefault="004C5D9D" w:rsidP="004C5D9D">
      <w:pPr>
        <w:spacing w:after="0"/>
      </w:pPr>
    </w:p>
    <w:p w14:paraId="52F3E70E" w14:textId="77777777" w:rsidR="004C5D9D" w:rsidRDefault="004C5D9D" w:rsidP="004C5D9D">
      <w:pPr>
        <w:spacing w:after="0"/>
      </w:pPr>
      <w:r w:rsidRPr="009F0FC6">
        <w:rPr>
          <w:b/>
          <w:bCs/>
        </w:rPr>
        <w:t>Toestemming</w:t>
      </w:r>
      <w:r>
        <w:t>: De persoon is het ermee eens dat zijn gegevens verzameld worden.</w:t>
      </w:r>
    </w:p>
    <w:p w14:paraId="71F3DB26" w14:textId="77777777" w:rsidR="004C5D9D" w:rsidRDefault="004C5D9D" w:rsidP="004C5D9D">
      <w:pPr>
        <w:spacing w:after="0"/>
      </w:pPr>
      <w:r w:rsidRPr="009F0FC6">
        <w:rPr>
          <w:b/>
          <w:bCs/>
        </w:rPr>
        <w:t>Nodig voor de uitvoering van een overeenkomst</w:t>
      </w:r>
      <w:r>
        <w:t>: Bijvoorbeeld voor een contract, zoals een aankoop.</w:t>
      </w:r>
    </w:p>
    <w:p w14:paraId="332B438E" w14:textId="77777777" w:rsidR="004C5D9D" w:rsidRDefault="004C5D9D" w:rsidP="004C5D9D">
      <w:pPr>
        <w:spacing w:after="0"/>
      </w:pPr>
      <w:r w:rsidRPr="009F0FC6">
        <w:rPr>
          <w:b/>
          <w:bCs/>
        </w:rPr>
        <w:t>Wettelijke verplichting</w:t>
      </w:r>
      <w:r>
        <w:t>: Als de wet een organisatie verplicht om gegevens te verzamelen (bijvoorbeeld belastingaangifte).</w:t>
      </w:r>
    </w:p>
    <w:p w14:paraId="1DCB7714" w14:textId="77777777" w:rsidR="004C5D9D" w:rsidRDefault="004C5D9D" w:rsidP="004C5D9D">
      <w:pPr>
        <w:spacing w:after="0"/>
      </w:pPr>
      <w:r w:rsidRPr="009F0FC6">
        <w:rPr>
          <w:b/>
          <w:bCs/>
        </w:rPr>
        <w:t>Bescherming van vitale belangen</w:t>
      </w:r>
      <w:r>
        <w:t>: Als het nodig is om iemands leven te beschermen (bijvoorbeeld medische gegevens bij een noodgeval).</w:t>
      </w:r>
    </w:p>
    <w:p w14:paraId="21A40199" w14:textId="77777777" w:rsidR="004C5D9D" w:rsidRDefault="004C5D9D" w:rsidP="004C5D9D">
      <w:pPr>
        <w:spacing w:after="0"/>
      </w:pPr>
      <w:r w:rsidRPr="009F0FC6">
        <w:rPr>
          <w:b/>
          <w:bCs/>
        </w:rPr>
        <w:t>Taak van algemeen belang of uitoefening van openbaar gezag</w:t>
      </w:r>
      <w:r>
        <w:t>: Wanneer een organisatie een publieke taak uitvoert, zoals de overheid.</w:t>
      </w:r>
    </w:p>
    <w:p w14:paraId="66BA864A" w14:textId="2BDE216D" w:rsidR="00031C20" w:rsidRDefault="004C5D9D" w:rsidP="004C5D9D">
      <w:pPr>
        <w:spacing w:after="0"/>
      </w:pPr>
      <w:r w:rsidRPr="009F0FC6">
        <w:rPr>
          <w:b/>
          <w:bCs/>
        </w:rPr>
        <w:t>Gerechtvaardigd belang</w:t>
      </w:r>
      <w:r>
        <w:t>: Als een organisatie gegevens verzamelt omdat dit in hun belang is en het niet schadelijk is voor de rechten van de persoon.</w:t>
      </w:r>
    </w:p>
    <w:p w14:paraId="3B26377D" w14:textId="77777777" w:rsidR="00EE0BFE" w:rsidRDefault="00EE0BFE" w:rsidP="00031C20">
      <w:pPr>
        <w:spacing w:after="0"/>
        <w:rPr>
          <w:b/>
          <w:bCs/>
        </w:rPr>
      </w:pPr>
    </w:p>
    <w:p w14:paraId="4CBE160D" w14:textId="4FEC6687" w:rsidR="00031C20" w:rsidRPr="00031C20" w:rsidRDefault="00031C20" w:rsidP="00EE0BFE">
      <w:pPr>
        <w:pStyle w:val="Kop4"/>
      </w:pPr>
      <w:r w:rsidRPr="00031C20">
        <w:lastRenderedPageBreak/>
        <w:t>Met behulp van de Regelhulp van de APG bepalen aan welke voorwaarden van de AVG moet voldoen.</w:t>
      </w:r>
    </w:p>
    <w:p w14:paraId="5BB5E485" w14:textId="223474E3" w:rsidR="00031C20" w:rsidRPr="00031C20" w:rsidRDefault="00EE0BFE" w:rsidP="00031C20">
      <w:pPr>
        <w:spacing w:after="0"/>
      </w:pPr>
      <w:r w:rsidRPr="00EE0BFE">
        <w:t>Met de Regelhulp van de APG kun je stap voor stap kijken welke regels je moet volgen om te zorgen dat je gegevens op de juiste manier verzamelt en gebruikt volgens de AVG. Het is een hulpmiddel waarmee je kunt nagaan of je voldoet aan de voorwaarden van de AVG, zoals toestemming krijgen, veilige opslag van gegevens en transparant zijn over hoe je gegevens gebruikt.</w:t>
      </w:r>
    </w:p>
    <w:p w14:paraId="2C49B715" w14:textId="77777777" w:rsidR="00031C20" w:rsidRDefault="00031C20" w:rsidP="00E147CC">
      <w:pPr>
        <w:pStyle w:val="Kop3"/>
      </w:pPr>
    </w:p>
    <w:p w14:paraId="0C79F4DE" w14:textId="546470D6" w:rsidR="007F3D29" w:rsidRPr="00021366" w:rsidRDefault="007F3D29" w:rsidP="00E147CC">
      <w:pPr>
        <w:pStyle w:val="Kop3"/>
      </w:pPr>
      <w:r w:rsidRPr="00021366">
        <w:t>1. Het artikel: betrouwbaarheid en impact</w:t>
      </w:r>
      <w:bookmarkEnd w:id="13"/>
    </w:p>
    <w:p w14:paraId="3DB39036" w14:textId="0518B95B" w:rsidR="007F3D29" w:rsidRPr="00021366" w:rsidRDefault="007F3D29" w:rsidP="007F3D29">
      <w:pPr>
        <w:rPr>
          <w:rFonts w:ascii="Calibri" w:hAnsi="Calibri" w:cs="Calibri"/>
        </w:rPr>
      </w:pPr>
      <w:r w:rsidRPr="00021366">
        <w:rPr>
          <w:rFonts w:ascii="Calibri" w:hAnsi="Calibri" w:cs="Calibri"/>
        </w:rPr>
        <w:t xml:space="preserve">Het artikel van RTL Nieuws bespreekt het zes jaar durende onderzoek naar het mogelijke verraad van Anne Frank en haar familie. Volgens het internationale </w:t>
      </w:r>
      <w:proofErr w:type="spellStart"/>
      <w:r w:rsidRPr="00021366">
        <w:rPr>
          <w:rFonts w:ascii="Calibri" w:hAnsi="Calibri" w:cs="Calibri"/>
        </w:rPr>
        <w:t>coldcaseteam</w:t>
      </w:r>
      <w:proofErr w:type="spellEnd"/>
      <w:r w:rsidRPr="00021366">
        <w:rPr>
          <w:rFonts w:ascii="Calibri" w:hAnsi="Calibri" w:cs="Calibri"/>
        </w:rPr>
        <w:t xml:space="preserve"> is de meest waarschijnlijke dader de </w:t>
      </w:r>
      <w:r w:rsidRPr="00021366">
        <w:rPr>
          <w:rFonts w:ascii="Calibri" w:hAnsi="Calibri" w:cs="Calibri"/>
          <w:b/>
          <w:bCs/>
        </w:rPr>
        <w:t>Joodse notaris Arnold van den Bergh</w:t>
      </w:r>
      <w:r w:rsidRPr="00021366">
        <w:rPr>
          <w:rFonts w:ascii="Calibri" w:hAnsi="Calibri" w:cs="Calibri"/>
        </w:rPr>
        <w:t xml:space="preserve"> die de onderduikers mogelijk heeft verraden om zijn eigen gezin te redden.</w:t>
      </w:r>
    </w:p>
    <w:p w14:paraId="2CB03DDC" w14:textId="77777777" w:rsidR="007F3D29" w:rsidRPr="00021366" w:rsidRDefault="007F3D29" w:rsidP="007F3D29">
      <w:pPr>
        <w:rPr>
          <w:rFonts w:ascii="Calibri" w:hAnsi="Calibri" w:cs="Calibri"/>
        </w:rPr>
      </w:pPr>
      <w:r w:rsidRPr="00021366">
        <w:rPr>
          <w:rFonts w:ascii="Calibri" w:hAnsi="Calibri" w:cs="Calibri"/>
        </w:rPr>
        <w:t xml:space="preserve">Het artikel benadrukt dat er </w:t>
      </w:r>
      <w:r w:rsidRPr="00021366">
        <w:rPr>
          <w:rFonts w:ascii="Calibri" w:hAnsi="Calibri" w:cs="Calibri"/>
          <w:b/>
          <w:bCs/>
        </w:rPr>
        <w:t>geen definitief bewijs</w:t>
      </w:r>
      <w:r w:rsidRPr="00021366">
        <w:rPr>
          <w:rFonts w:ascii="Calibri" w:hAnsi="Calibri" w:cs="Calibri"/>
        </w:rPr>
        <w:t xml:space="preserve"> is, maar dat de onderzoekers een </w:t>
      </w:r>
      <w:r w:rsidRPr="00021366">
        <w:rPr>
          <w:rFonts w:ascii="Calibri" w:hAnsi="Calibri" w:cs="Calibri"/>
          <w:b/>
          <w:bCs/>
        </w:rPr>
        <w:t>waarschijnlijkheid van 85%</w:t>
      </w:r>
      <w:r w:rsidRPr="00021366">
        <w:rPr>
          <w:rFonts w:ascii="Calibri" w:hAnsi="Calibri" w:cs="Calibri"/>
        </w:rPr>
        <w:t xml:space="preserve"> aangeven op basis van indirect bewijs, zoals een </w:t>
      </w:r>
      <w:r w:rsidRPr="00021366">
        <w:rPr>
          <w:rFonts w:ascii="Calibri" w:hAnsi="Calibri" w:cs="Calibri"/>
          <w:b/>
          <w:bCs/>
        </w:rPr>
        <w:t>anoniem briefje</w:t>
      </w:r>
      <w:r w:rsidRPr="00021366">
        <w:rPr>
          <w:rFonts w:ascii="Calibri" w:hAnsi="Calibri" w:cs="Calibri"/>
        </w:rPr>
        <w:t xml:space="preserve"> dat Otto Frank na de oorlog ontving.</w:t>
      </w:r>
    </w:p>
    <w:p w14:paraId="0041FD63" w14:textId="432F8D55" w:rsidR="007F3D29" w:rsidRPr="00021366" w:rsidRDefault="007F3D29" w:rsidP="007F3D29">
      <w:pPr>
        <w:rPr>
          <w:rFonts w:ascii="Calibri" w:hAnsi="Calibri" w:cs="Calibri"/>
        </w:rPr>
      </w:pPr>
      <w:r w:rsidRPr="00021366">
        <w:rPr>
          <w:rFonts w:ascii="Calibri" w:hAnsi="Calibri" w:cs="Calibri"/>
        </w:rPr>
        <w:t xml:space="preserve">Wat opvalt is dat het artikel </w:t>
      </w:r>
      <w:r w:rsidRPr="00021366">
        <w:rPr>
          <w:rFonts w:ascii="Calibri" w:hAnsi="Calibri" w:cs="Calibri"/>
          <w:b/>
          <w:bCs/>
        </w:rPr>
        <w:t>kritiek uit verschillende hoeken</w:t>
      </w:r>
      <w:r w:rsidRPr="00021366">
        <w:rPr>
          <w:rFonts w:ascii="Calibri" w:hAnsi="Calibri" w:cs="Calibri"/>
        </w:rPr>
        <w:t xml:space="preserve"> benoemt. Experts zijn sceptisch en er wordt expliciet vermeld dat er </w:t>
      </w:r>
      <w:r w:rsidRPr="00021366">
        <w:rPr>
          <w:rFonts w:ascii="Calibri" w:hAnsi="Calibri" w:cs="Calibri"/>
          <w:b/>
          <w:bCs/>
        </w:rPr>
        <w:t>geen ‘smoking gun’</w:t>
      </w:r>
      <w:r w:rsidRPr="00021366">
        <w:rPr>
          <w:rFonts w:ascii="Calibri" w:hAnsi="Calibri" w:cs="Calibri"/>
        </w:rPr>
        <w:t xml:space="preserve"> is, oftewel onomstotelijk bewijs. Dit is belangrijk, want zonder sterk bewijs kunnen dit soort beschuldigingen leiden tot </w:t>
      </w:r>
      <w:r w:rsidRPr="00021366">
        <w:rPr>
          <w:rFonts w:ascii="Calibri" w:hAnsi="Calibri" w:cs="Calibri"/>
          <w:b/>
          <w:bCs/>
        </w:rPr>
        <w:t>onjuiste geschiedschrijving en reputatieschade voor nabestaanden</w:t>
      </w:r>
      <w:r w:rsidRPr="00021366">
        <w:rPr>
          <w:rFonts w:ascii="Calibri" w:hAnsi="Calibri" w:cs="Calibri"/>
        </w:rPr>
        <w:t>.</w:t>
      </w:r>
    </w:p>
    <w:p w14:paraId="7EA277FB" w14:textId="124DDB8F" w:rsidR="007F3D29" w:rsidRPr="00021366" w:rsidRDefault="007F3D29" w:rsidP="007F3D29">
      <w:pPr>
        <w:rPr>
          <w:rFonts w:ascii="Calibri" w:hAnsi="Calibri" w:cs="Calibri"/>
        </w:rPr>
      </w:pPr>
      <w:r w:rsidRPr="00021366">
        <w:rPr>
          <w:rFonts w:ascii="Calibri" w:hAnsi="Calibri" w:cs="Calibri"/>
        </w:rPr>
        <w:t xml:space="preserve">Wat het artikel minder bespreekt is de </w:t>
      </w:r>
      <w:r w:rsidRPr="00021366">
        <w:rPr>
          <w:rFonts w:ascii="Calibri" w:hAnsi="Calibri" w:cs="Calibri"/>
          <w:b/>
          <w:bCs/>
        </w:rPr>
        <w:t>historische context</w:t>
      </w:r>
      <w:r w:rsidRPr="00021366">
        <w:rPr>
          <w:rFonts w:ascii="Calibri" w:hAnsi="Calibri" w:cs="Calibri"/>
        </w:rPr>
        <w:t xml:space="preserve"> rondom Arnold van den Bergh en de Joodse Raad.</w:t>
      </w:r>
    </w:p>
    <w:p w14:paraId="39E1E128" w14:textId="1394D409" w:rsidR="007F3D29" w:rsidRPr="00021366" w:rsidRDefault="007F3D29" w:rsidP="007F3D29">
      <w:pPr>
        <w:rPr>
          <w:rFonts w:ascii="Calibri" w:hAnsi="Calibri" w:cs="Calibri"/>
        </w:rPr>
      </w:pPr>
    </w:p>
    <w:p w14:paraId="29877EE5" w14:textId="77777777" w:rsidR="007F3D29" w:rsidRPr="00021366" w:rsidRDefault="007F3D29" w:rsidP="00E147CC">
      <w:pPr>
        <w:pStyle w:val="Kop3"/>
      </w:pPr>
      <w:bookmarkStart w:id="14" w:name="_Toc192457170"/>
      <w:r w:rsidRPr="00021366">
        <w:t>2. Arnold van den Bergh en de Joodse Raad: overleven onder terreur</w:t>
      </w:r>
      <w:bookmarkEnd w:id="14"/>
    </w:p>
    <w:p w14:paraId="4E1BD5FB" w14:textId="77777777" w:rsidR="007F3D29" w:rsidRPr="00021366" w:rsidRDefault="007F3D29" w:rsidP="007F3D29">
      <w:pPr>
        <w:numPr>
          <w:ilvl w:val="0"/>
          <w:numId w:val="1"/>
        </w:numPr>
        <w:rPr>
          <w:rFonts w:ascii="Calibri" w:hAnsi="Calibri" w:cs="Calibri"/>
        </w:rPr>
      </w:pPr>
      <w:r w:rsidRPr="00021366">
        <w:rPr>
          <w:rFonts w:ascii="Calibri" w:hAnsi="Calibri" w:cs="Calibri"/>
        </w:rPr>
        <w:t xml:space="preserve">Van den Bergh was een </w:t>
      </w:r>
      <w:r w:rsidRPr="00021366">
        <w:rPr>
          <w:rFonts w:ascii="Calibri" w:hAnsi="Calibri" w:cs="Calibri"/>
          <w:b/>
          <w:bCs/>
        </w:rPr>
        <w:t>stichtend lid van de Joodse Raad</w:t>
      </w:r>
      <w:r w:rsidRPr="00021366">
        <w:rPr>
          <w:rFonts w:ascii="Calibri" w:hAnsi="Calibri" w:cs="Calibri"/>
        </w:rPr>
        <w:t>, een organisatie die door de nazi’s werd opgezet om Joden te registreren en deportaties te coördineren.</w:t>
      </w:r>
    </w:p>
    <w:p w14:paraId="1CECE044" w14:textId="77777777" w:rsidR="007F3D29" w:rsidRPr="00021366" w:rsidRDefault="007F3D29" w:rsidP="007F3D29">
      <w:pPr>
        <w:numPr>
          <w:ilvl w:val="0"/>
          <w:numId w:val="1"/>
        </w:numPr>
        <w:rPr>
          <w:rFonts w:ascii="Calibri" w:hAnsi="Calibri" w:cs="Calibri"/>
        </w:rPr>
      </w:pPr>
      <w:r w:rsidRPr="00021366">
        <w:rPr>
          <w:rFonts w:ascii="Calibri" w:hAnsi="Calibri" w:cs="Calibri"/>
        </w:rPr>
        <w:t xml:space="preserve">Dit was </w:t>
      </w:r>
      <w:r w:rsidRPr="00021366">
        <w:rPr>
          <w:rFonts w:ascii="Calibri" w:hAnsi="Calibri" w:cs="Calibri"/>
          <w:b/>
          <w:bCs/>
        </w:rPr>
        <w:t>geen vrijwillige organisatie</w:t>
      </w:r>
      <w:r w:rsidRPr="00021366">
        <w:rPr>
          <w:rFonts w:ascii="Calibri" w:hAnsi="Calibri" w:cs="Calibri"/>
        </w:rPr>
        <w:t>. De nazi’s gebruikten de Joodse Raad als tussenlaag om controle over de Joodse gemeenschap te behouden.</w:t>
      </w:r>
    </w:p>
    <w:p w14:paraId="466461A0" w14:textId="77777777" w:rsidR="007F3D29" w:rsidRPr="00021366" w:rsidRDefault="007F3D29" w:rsidP="007F3D29">
      <w:pPr>
        <w:numPr>
          <w:ilvl w:val="0"/>
          <w:numId w:val="1"/>
        </w:numPr>
        <w:rPr>
          <w:rFonts w:ascii="Calibri" w:hAnsi="Calibri" w:cs="Calibri"/>
        </w:rPr>
      </w:pPr>
      <w:r w:rsidRPr="00021366">
        <w:rPr>
          <w:rFonts w:ascii="Calibri" w:hAnsi="Calibri" w:cs="Calibri"/>
        </w:rPr>
        <w:t xml:space="preserve">Leden van de Joodse Raad kregen </w:t>
      </w:r>
      <w:r w:rsidRPr="00021366">
        <w:rPr>
          <w:rFonts w:ascii="Calibri" w:hAnsi="Calibri" w:cs="Calibri"/>
          <w:b/>
          <w:bCs/>
        </w:rPr>
        <w:t>tijdelijk uitstel van deportatie</w:t>
      </w:r>
      <w:r w:rsidRPr="00021366">
        <w:rPr>
          <w:rFonts w:ascii="Calibri" w:hAnsi="Calibri" w:cs="Calibri"/>
        </w:rPr>
        <w:t>, maar de meeste werden later alsnog afgevoerd naar concentratiekampen.</w:t>
      </w:r>
    </w:p>
    <w:p w14:paraId="14021790" w14:textId="4904D711" w:rsidR="007F3D29" w:rsidRPr="00021366" w:rsidRDefault="007F3D29" w:rsidP="007F3D29">
      <w:pPr>
        <w:rPr>
          <w:rFonts w:ascii="Calibri" w:hAnsi="Calibri" w:cs="Calibri"/>
        </w:rPr>
      </w:pPr>
      <w:r w:rsidRPr="00021366">
        <w:rPr>
          <w:rFonts w:ascii="Calibri" w:hAnsi="Calibri" w:cs="Calibri"/>
        </w:rPr>
        <w:t xml:space="preserve">Toen de Joodse Raad in 1943 werd opgeheven werden vrijwel alle leden gedeporteerd. </w:t>
      </w:r>
      <w:r w:rsidRPr="00021366">
        <w:rPr>
          <w:rFonts w:ascii="Calibri" w:hAnsi="Calibri" w:cs="Calibri"/>
          <w:b/>
          <w:bCs/>
        </w:rPr>
        <w:t>Van den Bergh wist dit te voorkomen</w:t>
      </w:r>
      <w:r w:rsidRPr="00021366">
        <w:rPr>
          <w:rFonts w:ascii="Calibri" w:hAnsi="Calibri" w:cs="Calibri"/>
        </w:rPr>
        <w:t xml:space="preserve"> wat de vraag oproept: </w:t>
      </w:r>
      <w:r w:rsidRPr="00021366">
        <w:rPr>
          <w:rFonts w:ascii="Calibri" w:hAnsi="Calibri" w:cs="Calibri"/>
          <w:b/>
          <w:bCs/>
        </w:rPr>
        <w:t>hoe overleefde hij terwijl anderen werden weggevoerd?</w:t>
      </w:r>
    </w:p>
    <w:p w14:paraId="2F4E9A06" w14:textId="77777777" w:rsidR="007F3D29" w:rsidRPr="00021366" w:rsidRDefault="007F3D29" w:rsidP="007F3D29">
      <w:pPr>
        <w:rPr>
          <w:rFonts w:ascii="Calibri" w:hAnsi="Calibri" w:cs="Calibri"/>
        </w:rPr>
      </w:pPr>
      <w:r w:rsidRPr="00021366">
        <w:rPr>
          <w:rFonts w:ascii="Calibri" w:hAnsi="Calibri" w:cs="Calibri"/>
        </w:rPr>
        <w:lastRenderedPageBreak/>
        <w:t xml:space="preserve">Het </w:t>
      </w:r>
      <w:proofErr w:type="spellStart"/>
      <w:r w:rsidRPr="00021366">
        <w:rPr>
          <w:rFonts w:ascii="Calibri" w:hAnsi="Calibri" w:cs="Calibri"/>
        </w:rPr>
        <w:t>coldcaseteam</w:t>
      </w:r>
      <w:proofErr w:type="spellEnd"/>
      <w:r w:rsidRPr="00021366">
        <w:rPr>
          <w:rFonts w:ascii="Calibri" w:hAnsi="Calibri" w:cs="Calibri"/>
        </w:rPr>
        <w:t xml:space="preserve"> vermoedt dat hij </w:t>
      </w:r>
      <w:r w:rsidRPr="00021366">
        <w:rPr>
          <w:rFonts w:ascii="Calibri" w:hAnsi="Calibri" w:cs="Calibri"/>
          <w:b/>
          <w:bCs/>
        </w:rPr>
        <w:t>onderduikadressen heeft doorgegeven aan de nazi’s</w:t>
      </w:r>
      <w:r w:rsidRPr="00021366">
        <w:rPr>
          <w:rFonts w:ascii="Calibri" w:hAnsi="Calibri" w:cs="Calibri"/>
        </w:rPr>
        <w:t xml:space="preserve"> in ruil voor zijn veiligheid. Dit is echter </w:t>
      </w:r>
      <w:r w:rsidRPr="00021366">
        <w:rPr>
          <w:rFonts w:ascii="Calibri" w:hAnsi="Calibri" w:cs="Calibri"/>
          <w:b/>
          <w:bCs/>
        </w:rPr>
        <w:t>pure speculatie</w:t>
      </w:r>
      <w:r w:rsidRPr="00021366">
        <w:rPr>
          <w:rFonts w:ascii="Calibri" w:hAnsi="Calibri" w:cs="Calibri"/>
        </w:rPr>
        <w:t xml:space="preserve"> en historici betwijfelen of hij op dat moment nog toegang had tot dergelijke lijsten.</w:t>
      </w:r>
    </w:p>
    <w:p w14:paraId="7577A02F" w14:textId="4F971B29" w:rsidR="007F3D29" w:rsidRPr="00021366" w:rsidRDefault="007F3D29" w:rsidP="007F3D29">
      <w:pPr>
        <w:rPr>
          <w:rFonts w:ascii="Calibri" w:hAnsi="Calibri" w:cs="Calibri"/>
        </w:rPr>
      </w:pPr>
    </w:p>
    <w:p w14:paraId="09491A45" w14:textId="77777777" w:rsidR="007F3D29" w:rsidRPr="00021366" w:rsidRDefault="007F3D29" w:rsidP="00E147CC">
      <w:pPr>
        <w:pStyle w:val="Kop3"/>
      </w:pPr>
      <w:bookmarkStart w:id="15" w:name="_Toc192457171"/>
      <w:r w:rsidRPr="00021366">
        <w:t>3. Het onderzoek en de AVG</w:t>
      </w:r>
      <w:bookmarkEnd w:id="15"/>
    </w:p>
    <w:p w14:paraId="548191D2" w14:textId="1C855BB9" w:rsidR="007F3D29" w:rsidRPr="00021366" w:rsidRDefault="007F3D29" w:rsidP="007F3D29">
      <w:pPr>
        <w:rPr>
          <w:rFonts w:ascii="Calibri" w:hAnsi="Calibri" w:cs="Calibri"/>
        </w:rPr>
      </w:pPr>
      <w:r w:rsidRPr="00021366">
        <w:rPr>
          <w:rFonts w:ascii="Calibri" w:hAnsi="Calibri" w:cs="Calibri"/>
        </w:rPr>
        <w:t xml:space="preserve">Vanuit een </w:t>
      </w:r>
      <w:r w:rsidRPr="00021366">
        <w:rPr>
          <w:rFonts w:ascii="Calibri" w:hAnsi="Calibri" w:cs="Calibri"/>
          <w:b/>
          <w:bCs/>
        </w:rPr>
        <w:t>AVG-perspectief (Algemene Verordening Gegevensbescherming)</w:t>
      </w:r>
      <w:r w:rsidRPr="00021366">
        <w:rPr>
          <w:rFonts w:ascii="Calibri" w:hAnsi="Calibri" w:cs="Calibri"/>
        </w:rPr>
        <w:t xml:space="preserve"> roept dit onderzoek vragen op over de omgang met </w:t>
      </w:r>
      <w:r w:rsidRPr="00021366">
        <w:rPr>
          <w:rFonts w:ascii="Calibri" w:hAnsi="Calibri" w:cs="Calibri"/>
          <w:b/>
          <w:bCs/>
        </w:rPr>
        <w:t>historische persoonsgegevens</w:t>
      </w:r>
      <w:r w:rsidRPr="00021366">
        <w:rPr>
          <w:rFonts w:ascii="Calibri" w:hAnsi="Calibri" w:cs="Calibri"/>
        </w:rPr>
        <w:t xml:space="preserve">. Hoewel de AVG primair bedoeld is voor levende personen, is het nog steeds de vraag in hoeverre nabestaanden van </w:t>
      </w:r>
      <w:proofErr w:type="spellStart"/>
      <w:r w:rsidRPr="00021366">
        <w:rPr>
          <w:rFonts w:ascii="Calibri" w:hAnsi="Calibri" w:cs="Calibri"/>
        </w:rPr>
        <w:t>Van</w:t>
      </w:r>
      <w:proofErr w:type="spellEnd"/>
      <w:r w:rsidRPr="00021366">
        <w:rPr>
          <w:rFonts w:ascii="Calibri" w:hAnsi="Calibri" w:cs="Calibri"/>
        </w:rPr>
        <w:t xml:space="preserve"> den Bergh </w:t>
      </w:r>
      <w:r w:rsidRPr="00021366">
        <w:rPr>
          <w:rFonts w:ascii="Calibri" w:hAnsi="Calibri" w:cs="Calibri"/>
          <w:b/>
          <w:bCs/>
        </w:rPr>
        <w:t>onterecht beschadigd</w:t>
      </w:r>
      <w:r w:rsidRPr="00021366">
        <w:rPr>
          <w:rFonts w:ascii="Calibri" w:hAnsi="Calibri" w:cs="Calibri"/>
        </w:rPr>
        <w:t xml:space="preserve"> kunnen worden door het onderzoek.</w:t>
      </w:r>
    </w:p>
    <w:p w14:paraId="09C40D71" w14:textId="07AB6072" w:rsidR="007F3D29" w:rsidRPr="00021366" w:rsidRDefault="007F3D29" w:rsidP="007F3D29">
      <w:pPr>
        <w:rPr>
          <w:rFonts w:ascii="Calibri" w:hAnsi="Calibri" w:cs="Calibri"/>
        </w:rPr>
      </w:pPr>
      <w:r w:rsidRPr="008A15D0">
        <w:rPr>
          <w:rFonts w:ascii="Calibri" w:hAnsi="Calibri" w:cs="Calibri"/>
          <w:b/>
          <w:bCs/>
        </w:rPr>
        <w:t>Belangrijke overwegingen:</w:t>
      </w:r>
      <w:r w:rsidRPr="00021366">
        <w:rPr>
          <w:rFonts w:ascii="Calibri" w:hAnsi="Calibri" w:cs="Calibri"/>
        </w:rPr>
        <w:br/>
      </w:r>
      <w:r w:rsidRPr="00021366">
        <w:rPr>
          <w:rFonts w:ascii="Calibri" w:hAnsi="Calibri" w:cs="Calibri"/>
          <w:b/>
          <w:bCs/>
        </w:rPr>
        <w:t>Recht op waarheid vs. bescherming van persoonsgegevens</w:t>
      </w:r>
      <w:r w:rsidRPr="00021366">
        <w:rPr>
          <w:rFonts w:ascii="Calibri" w:hAnsi="Calibri" w:cs="Calibri"/>
        </w:rPr>
        <w:t>: Historisch onderzoek moet vrij kunnen plaatsvinden, maar hoe zorg je ervoor dat nabestaanden niet onterecht worden geraakt?</w:t>
      </w:r>
      <w:r w:rsidRPr="00021366">
        <w:rPr>
          <w:rFonts w:ascii="Calibri" w:hAnsi="Calibri" w:cs="Calibri"/>
        </w:rPr>
        <w:br/>
      </w:r>
      <w:r w:rsidRPr="00021366">
        <w:rPr>
          <w:rFonts w:ascii="Calibri" w:hAnsi="Calibri" w:cs="Calibri"/>
          <w:b/>
          <w:bCs/>
        </w:rPr>
        <w:t>Geen definitief bewijs</w:t>
      </w:r>
      <w:r w:rsidRPr="00021366">
        <w:rPr>
          <w:rFonts w:ascii="Calibri" w:hAnsi="Calibri" w:cs="Calibri"/>
        </w:rPr>
        <w:t>: Een beschuldiging met 85% waarschijnlijkheid kan schadelijk zijn als het in de media wordt gebracht alsof het feitelijk bewezen is.</w:t>
      </w:r>
      <w:r w:rsidRPr="00021366">
        <w:rPr>
          <w:rFonts w:ascii="Calibri" w:hAnsi="Calibri" w:cs="Calibri"/>
        </w:rPr>
        <w:br/>
      </w:r>
      <w:r w:rsidRPr="00021366">
        <w:rPr>
          <w:rFonts w:ascii="Calibri" w:hAnsi="Calibri" w:cs="Calibri"/>
          <w:b/>
          <w:bCs/>
        </w:rPr>
        <w:t>Het anonieme briefje als basis</w:t>
      </w:r>
      <w:r w:rsidRPr="00021366">
        <w:rPr>
          <w:rFonts w:ascii="Calibri" w:hAnsi="Calibri" w:cs="Calibri"/>
        </w:rPr>
        <w:t xml:space="preserve">: In de AVG geldt dat organisaties voorzichtig moeten zijn met </w:t>
      </w:r>
      <w:r w:rsidRPr="00021366">
        <w:rPr>
          <w:rFonts w:ascii="Calibri" w:hAnsi="Calibri" w:cs="Calibri"/>
          <w:b/>
          <w:bCs/>
        </w:rPr>
        <w:t>onbevestigde bronnen</w:t>
      </w:r>
      <w:r w:rsidRPr="00021366">
        <w:rPr>
          <w:rFonts w:ascii="Calibri" w:hAnsi="Calibri" w:cs="Calibri"/>
        </w:rPr>
        <w:t xml:space="preserve"> bij de verwerking van persoonsgegevens. Dit principe had ook in dit onderzoek strenger toegepast kunnen worden.</w:t>
      </w:r>
    </w:p>
    <w:p w14:paraId="41446DF6" w14:textId="208B7B34" w:rsidR="007F3D29" w:rsidRPr="00021366" w:rsidRDefault="007F3D29" w:rsidP="007F3D29">
      <w:pPr>
        <w:rPr>
          <w:rFonts w:ascii="Calibri" w:hAnsi="Calibri" w:cs="Calibri"/>
        </w:rPr>
      </w:pPr>
      <w:r w:rsidRPr="00021366">
        <w:rPr>
          <w:rFonts w:ascii="Calibri" w:hAnsi="Calibri" w:cs="Calibri"/>
        </w:rPr>
        <w:t xml:space="preserve">Hoewel de AVG strikt genomen niet direct van toepassing is raakt dit onderzoek wel aan de </w:t>
      </w:r>
      <w:r w:rsidRPr="00021366">
        <w:rPr>
          <w:rFonts w:ascii="Calibri" w:hAnsi="Calibri" w:cs="Calibri"/>
          <w:b/>
          <w:bCs/>
        </w:rPr>
        <w:t>ethische normen rondom persoonsgegevens en reputatieschade</w:t>
      </w:r>
      <w:r w:rsidRPr="00021366">
        <w:rPr>
          <w:rFonts w:ascii="Calibri" w:hAnsi="Calibri" w:cs="Calibri"/>
        </w:rPr>
        <w:t>.</w:t>
      </w:r>
    </w:p>
    <w:p w14:paraId="793B3BE6" w14:textId="72F9CF14" w:rsidR="007F3D29" w:rsidRPr="00021366" w:rsidRDefault="007F3D29" w:rsidP="007F3D29">
      <w:pPr>
        <w:rPr>
          <w:rFonts w:ascii="Calibri" w:hAnsi="Calibri" w:cs="Calibri"/>
        </w:rPr>
      </w:pPr>
    </w:p>
    <w:p w14:paraId="7075D5F8" w14:textId="77777777" w:rsidR="007F3D29" w:rsidRPr="00021366" w:rsidRDefault="007F3D29" w:rsidP="00E147CC">
      <w:pPr>
        <w:pStyle w:val="Kop3"/>
      </w:pPr>
      <w:bookmarkStart w:id="16" w:name="_Toc192457172"/>
      <w:r w:rsidRPr="00021366">
        <w:t>4. Juridische vraag: had dit nog vervolgd kunnen worden?</w:t>
      </w:r>
      <w:bookmarkEnd w:id="16"/>
    </w:p>
    <w:p w14:paraId="739E8F31" w14:textId="77777777" w:rsidR="007F3D29" w:rsidRPr="00021366" w:rsidRDefault="007F3D29" w:rsidP="007F3D29">
      <w:pPr>
        <w:rPr>
          <w:rFonts w:ascii="Calibri" w:hAnsi="Calibri" w:cs="Calibri"/>
        </w:rPr>
      </w:pPr>
      <w:r w:rsidRPr="00021366">
        <w:rPr>
          <w:rFonts w:ascii="Calibri" w:hAnsi="Calibri" w:cs="Calibri"/>
        </w:rPr>
        <w:t xml:space="preserve">In Nederland geldt dat </w:t>
      </w:r>
      <w:r w:rsidRPr="00021366">
        <w:rPr>
          <w:rFonts w:ascii="Calibri" w:hAnsi="Calibri" w:cs="Calibri"/>
          <w:b/>
          <w:bCs/>
        </w:rPr>
        <w:t>oorlogsmisdaden en misdaden tegen de menselijkheid niet verjaren</w:t>
      </w:r>
      <w:r w:rsidRPr="00021366">
        <w:rPr>
          <w:rFonts w:ascii="Calibri" w:hAnsi="Calibri" w:cs="Calibri"/>
        </w:rPr>
        <w:t>. Maar de vraag is:</w:t>
      </w:r>
    </w:p>
    <w:p w14:paraId="24E82DA2" w14:textId="77777777" w:rsidR="007F3D29" w:rsidRPr="00021366" w:rsidRDefault="007F3D29" w:rsidP="007F3D29">
      <w:pPr>
        <w:numPr>
          <w:ilvl w:val="0"/>
          <w:numId w:val="2"/>
        </w:numPr>
        <w:rPr>
          <w:rFonts w:ascii="Calibri" w:hAnsi="Calibri" w:cs="Calibri"/>
        </w:rPr>
      </w:pPr>
      <w:r w:rsidRPr="00021366">
        <w:rPr>
          <w:rFonts w:ascii="Calibri" w:hAnsi="Calibri" w:cs="Calibri"/>
          <w:b/>
          <w:bCs/>
        </w:rPr>
        <w:t>Zou het verraad van Anne Frank als oorlogsmisdaad gelden?</w:t>
      </w:r>
    </w:p>
    <w:p w14:paraId="7A2B69CD" w14:textId="0AB2D839" w:rsidR="007F3D29" w:rsidRPr="00021366" w:rsidRDefault="007F3D29" w:rsidP="007F3D29">
      <w:pPr>
        <w:numPr>
          <w:ilvl w:val="0"/>
          <w:numId w:val="2"/>
        </w:numPr>
        <w:rPr>
          <w:rFonts w:ascii="Calibri" w:hAnsi="Calibri" w:cs="Calibri"/>
        </w:rPr>
      </w:pPr>
      <w:r w:rsidRPr="00021366">
        <w:rPr>
          <w:rFonts w:ascii="Calibri" w:hAnsi="Calibri" w:cs="Calibri"/>
          <w:b/>
          <w:bCs/>
        </w:rPr>
        <w:t>Of zou het vallen onder collaboratie waarvoor vroeger wél een verjaringstermijn gold?</w:t>
      </w:r>
    </w:p>
    <w:p w14:paraId="6E86E863" w14:textId="59BB8A3B" w:rsidR="007F3D29" w:rsidRPr="00021366" w:rsidRDefault="007F3D29" w:rsidP="007F3D29">
      <w:pPr>
        <w:rPr>
          <w:rFonts w:ascii="Calibri" w:hAnsi="Calibri" w:cs="Calibri"/>
        </w:rPr>
      </w:pPr>
      <w:r w:rsidRPr="00021366">
        <w:rPr>
          <w:rFonts w:ascii="Calibri" w:hAnsi="Calibri" w:cs="Calibri"/>
        </w:rPr>
        <w:t xml:space="preserve">Omdat Arnold van den Bergh </w:t>
      </w:r>
      <w:r w:rsidRPr="00021366">
        <w:rPr>
          <w:rFonts w:ascii="Calibri" w:hAnsi="Calibri" w:cs="Calibri"/>
          <w:b/>
          <w:bCs/>
        </w:rPr>
        <w:t>zelf Joods was</w:t>
      </w:r>
      <w:r w:rsidRPr="00021366">
        <w:rPr>
          <w:rFonts w:ascii="Calibri" w:hAnsi="Calibri" w:cs="Calibri"/>
        </w:rPr>
        <w:t xml:space="preserve"> zou dit eerder als </w:t>
      </w:r>
      <w:r w:rsidRPr="00021366">
        <w:rPr>
          <w:rFonts w:ascii="Calibri" w:hAnsi="Calibri" w:cs="Calibri"/>
          <w:b/>
          <w:bCs/>
        </w:rPr>
        <w:t>medeplichtigheid onder dwang</w:t>
      </w:r>
      <w:r w:rsidRPr="00021366">
        <w:rPr>
          <w:rFonts w:ascii="Calibri" w:hAnsi="Calibri" w:cs="Calibri"/>
        </w:rPr>
        <w:t xml:space="preserve"> dan als bewuste collaboratie worden gezien. Na de oorlog zijn veel collaborateurs berecht, maar in </w:t>
      </w:r>
      <w:r w:rsidRPr="00021366">
        <w:rPr>
          <w:rFonts w:ascii="Calibri" w:hAnsi="Calibri" w:cs="Calibri"/>
          <w:b/>
          <w:bCs/>
        </w:rPr>
        <w:t>de jaren ‘50-’60 werden de meeste zaken afgesloten</w:t>
      </w:r>
      <w:r w:rsidRPr="00021366">
        <w:rPr>
          <w:rFonts w:ascii="Calibri" w:hAnsi="Calibri" w:cs="Calibri"/>
        </w:rPr>
        <w:t xml:space="preserve">. Sinds </w:t>
      </w:r>
      <w:r w:rsidRPr="00021366">
        <w:rPr>
          <w:rFonts w:ascii="Calibri" w:hAnsi="Calibri" w:cs="Calibri"/>
          <w:b/>
          <w:bCs/>
        </w:rPr>
        <w:t xml:space="preserve">1971 zijn oorlogsmisdaden officieel </w:t>
      </w:r>
      <w:proofErr w:type="spellStart"/>
      <w:r w:rsidRPr="00021366">
        <w:rPr>
          <w:rFonts w:ascii="Calibri" w:hAnsi="Calibri" w:cs="Calibri"/>
          <w:b/>
          <w:bCs/>
        </w:rPr>
        <w:t>onverjaarbaar</w:t>
      </w:r>
      <w:proofErr w:type="spellEnd"/>
      <w:r w:rsidRPr="00021366">
        <w:rPr>
          <w:rFonts w:ascii="Calibri" w:hAnsi="Calibri" w:cs="Calibri"/>
        </w:rPr>
        <w:t>, maar tegen Van den Bergh zou nooit meer een zaak geopend kunnen worden, omdat hij in 1950 overleed.</w:t>
      </w:r>
    </w:p>
    <w:p w14:paraId="488E152D" w14:textId="77777777" w:rsidR="007F3D29" w:rsidRPr="00021366" w:rsidRDefault="007F3D29" w:rsidP="007F3D29">
      <w:pPr>
        <w:rPr>
          <w:rFonts w:ascii="Calibri" w:hAnsi="Calibri" w:cs="Calibri"/>
        </w:rPr>
      </w:pPr>
      <w:r w:rsidRPr="00021366">
        <w:rPr>
          <w:rFonts w:ascii="Calibri" w:hAnsi="Calibri" w:cs="Calibri"/>
        </w:rPr>
        <w:t xml:space="preserve">De juridische relevantie van het onderzoek is dus nihil, maar de </w:t>
      </w:r>
      <w:r w:rsidRPr="00021366">
        <w:rPr>
          <w:rFonts w:ascii="Calibri" w:hAnsi="Calibri" w:cs="Calibri"/>
          <w:b/>
          <w:bCs/>
        </w:rPr>
        <w:t>historische en ethische impact</w:t>
      </w:r>
      <w:r w:rsidRPr="00021366">
        <w:rPr>
          <w:rFonts w:ascii="Calibri" w:hAnsi="Calibri" w:cs="Calibri"/>
        </w:rPr>
        <w:t xml:space="preserve"> blijft groot.</w:t>
      </w:r>
    </w:p>
    <w:p w14:paraId="0DCF38E4" w14:textId="420C4D12" w:rsidR="007F3D29" w:rsidRPr="00021366" w:rsidRDefault="007F3D29" w:rsidP="007F3D29">
      <w:pPr>
        <w:rPr>
          <w:rFonts w:ascii="Calibri" w:hAnsi="Calibri" w:cs="Calibri"/>
        </w:rPr>
      </w:pPr>
    </w:p>
    <w:p w14:paraId="61C638A0" w14:textId="77777777" w:rsidR="007F3D29" w:rsidRPr="00021366" w:rsidRDefault="007F3D29" w:rsidP="00E147CC">
      <w:pPr>
        <w:pStyle w:val="Kop3"/>
      </w:pPr>
      <w:bookmarkStart w:id="17" w:name="_Toc192457173"/>
      <w:r w:rsidRPr="00021366">
        <w:t>5. Ethisch perspectief: had dit gepubliceerd moeten worden?</w:t>
      </w:r>
      <w:bookmarkEnd w:id="17"/>
    </w:p>
    <w:p w14:paraId="0C773C01" w14:textId="0A1DAD92" w:rsidR="007F3D29" w:rsidRPr="00021366" w:rsidRDefault="007F3D29" w:rsidP="007F3D29">
      <w:pPr>
        <w:rPr>
          <w:rFonts w:ascii="Calibri" w:hAnsi="Calibri" w:cs="Calibri"/>
        </w:rPr>
      </w:pPr>
      <w:r w:rsidRPr="00021366">
        <w:rPr>
          <w:rFonts w:ascii="Calibri" w:hAnsi="Calibri" w:cs="Calibri"/>
        </w:rPr>
        <w:t xml:space="preserve">De onderzoekers twijfelden zelf of ze de resultaten moesten publiceren. Ze gingen hiervoor te rade bij een rabbijn die hen adviseerde dat </w:t>
      </w:r>
      <w:r w:rsidRPr="00021366">
        <w:rPr>
          <w:rFonts w:ascii="Calibri" w:hAnsi="Calibri" w:cs="Calibri"/>
          <w:b/>
          <w:bCs/>
        </w:rPr>
        <w:t>de waarheid het hoogste goed is</w:t>
      </w:r>
      <w:r w:rsidRPr="00021366">
        <w:rPr>
          <w:rFonts w:ascii="Calibri" w:hAnsi="Calibri" w:cs="Calibri"/>
        </w:rPr>
        <w:t xml:space="preserve">. Dit roept de vraag op: </w:t>
      </w:r>
      <w:r w:rsidRPr="00021366">
        <w:rPr>
          <w:rFonts w:ascii="Calibri" w:hAnsi="Calibri" w:cs="Calibri"/>
          <w:b/>
          <w:bCs/>
        </w:rPr>
        <w:t>wanneer weegt historische waarheid zwaarder dan de mogelijke schade die een publicatie aanricht?</w:t>
      </w:r>
    </w:p>
    <w:p w14:paraId="554598BA" w14:textId="77777777" w:rsidR="007F3D29" w:rsidRPr="00021366" w:rsidRDefault="007F3D29" w:rsidP="007F3D29">
      <w:pPr>
        <w:rPr>
          <w:rFonts w:ascii="Calibri" w:hAnsi="Calibri" w:cs="Calibri"/>
        </w:rPr>
      </w:pPr>
      <w:r w:rsidRPr="00021366">
        <w:rPr>
          <w:rFonts w:ascii="Calibri" w:hAnsi="Calibri" w:cs="Calibri"/>
        </w:rPr>
        <w:t xml:space="preserve">Vanuit een </w:t>
      </w:r>
      <w:r w:rsidRPr="00021366">
        <w:rPr>
          <w:rFonts w:ascii="Calibri" w:hAnsi="Calibri" w:cs="Calibri"/>
          <w:b/>
          <w:bCs/>
        </w:rPr>
        <w:t>ethisch perspectief</w:t>
      </w:r>
      <w:r w:rsidRPr="00021366">
        <w:rPr>
          <w:rFonts w:ascii="Calibri" w:hAnsi="Calibri" w:cs="Calibri"/>
        </w:rPr>
        <w:t xml:space="preserve"> kun je dit op verschillende manieren bekijken:</w:t>
      </w:r>
    </w:p>
    <w:p w14:paraId="6A00F168" w14:textId="77777777" w:rsidR="007F3D29" w:rsidRPr="00021366" w:rsidRDefault="007F3D29" w:rsidP="007F3D29">
      <w:pPr>
        <w:numPr>
          <w:ilvl w:val="0"/>
          <w:numId w:val="3"/>
        </w:numPr>
        <w:rPr>
          <w:rFonts w:ascii="Calibri" w:hAnsi="Calibri" w:cs="Calibri"/>
        </w:rPr>
      </w:pPr>
      <w:r w:rsidRPr="00021366">
        <w:rPr>
          <w:rFonts w:ascii="Calibri" w:hAnsi="Calibri" w:cs="Calibri"/>
          <w:b/>
          <w:bCs/>
        </w:rPr>
        <w:t>Voor publicatie</w:t>
      </w:r>
      <w:r w:rsidRPr="00021366">
        <w:rPr>
          <w:rFonts w:ascii="Calibri" w:hAnsi="Calibri" w:cs="Calibri"/>
        </w:rPr>
        <w:t>: Het blootleggen van de waarheid, ook als die pijnlijk is, is belangrijk voor historisch besef en het begrijpen van de Holocaust.</w:t>
      </w:r>
    </w:p>
    <w:p w14:paraId="413A1AD1" w14:textId="77777777" w:rsidR="007F3D29" w:rsidRPr="00021366" w:rsidRDefault="007F3D29" w:rsidP="007F3D29">
      <w:pPr>
        <w:numPr>
          <w:ilvl w:val="0"/>
          <w:numId w:val="3"/>
        </w:numPr>
        <w:rPr>
          <w:rFonts w:ascii="Calibri" w:hAnsi="Calibri" w:cs="Calibri"/>
        </w:rPr>
      </w:pPr>
      <w:r w:rsidRPr="00021366">
        <w:rPr>
          <w:rFonts w:ascii="Calibri" w:hAnsi="Calibri" w:cs="Calibri"/>
          <w:b/>
          <w:bCs/>
        </w:rPr>
        <w:t>Tegen publicatie</w:t>
      </w:r>
      <w:r w:rsidRPr="00021366">
        <w:rPr>
          <w:rFonts w:ascii="Calibri" w:hAnsi="Calibri" w:cs="Calibri"/>
        </w:rPr>
        <w:t>: Zonder sluitend bewijs kan dit leiden tot ongefundeerde verdachtmakingen en kan het antisemitisme versterken door de suggestie dat een Joodse notaris andere Joden heeft verraden.</w:t>
      </w:r>
    </w:p>
    <w:p w14:paraId="6F3D68AA" w14:textId="77777777" w:rsidR="00E147CC" w:rsidRDefault="00E147CC" w:rsidP="007F3D29">
      <w:pPr>
        <w:rPr>
          <w:rStyle w:val="Kop3Char"/>
        </w:rPr>
      </w:pPr>
    </w:p>
    <w:p w14:paraId="6D239D50" w14:textId="2F98699F" w:rsidR="007F3D29" w:rsidRPr="00207AD1" w:rsidRDefault="007F3D29" w:rsidP="007F3D29">
      <w:pPr>
        <w:rPr>
          <w:rFonts w:ascii="Calibri" w:hAnsi="Calibri" w:cs="Calibri"/>
          <w:b/>
          <w:bCs/>
        </w:rPr>
      </w:pPr>
      <w:bookmarkStart w:id="18" w:name="_Toc192457174"/>
      <w:r w:rsidRPr="00E147CC">
        <w:rPr>
          <w:rStyle w:val="Kop3Char"/>
        </w:rPr>
        <w:t>Mijn mening:</w:t>
      </w:r>
      <w:bookmarkEnd w:id="18"/>
      <w:r w:rsidRPr="00021366">
        <w:rPr>
          <w:rFonts w:ascii="Calibri" w:hAnsi="Calibri" w:cs="Calibri"/>
        </w:rPr>
        <w:br/>
        <w:t xml:space="preserve">Als </w:t>
      </w:r>
      <w:r w:rsidRPr="00021366">
        <w:rPr>
          <w:rFonts w:ascii="Calibri" w:hAnsi="Calibri" w:cs="Calibri"/>
          <w:b/>
          <w:bCs/>
        </w:rPr>
        <w:t>alle betrokkenen overleden zijn, er geen juridische vervolging mogelijk is en het slachtoffer zelf ook overleden is</w:t>
      </w:r>
      <w:r w:rsidRPr="00021366">
        <w:rPr>
          <w:rFonts w:ascii="Calibri" w:hAnsi="Calibri" w:cs="Calibri"/>
        </w:rPr>
        <w:t xml:space="preserve"> dan moet men zich afvragen of het openen van oude wonden </w:t>
      </w:r>
      <w:r w:rsidRPr="00021366">
        <w:rPr>
          <w:rFonts w:ascii="Calibri" w:hAnsi="Calibri" w:cs="Calibri"/>
          <w:b/>
          <w:bCs/>
        </w:rPr>
        <w:t>meer schade doet aan nabestaanden dan dat het bijdraagt aan geschiedschrijving</w:t>
      </w:r>
      <w:r w:rsidRPr="00021366">
        <w:rPr>
          <w:rFonts w:ascii="Calibri" w:hAnsi="Calibri" w:cs="Calibri"/>
        </w:rPr>
        <w:t xml:space="preserve">. In dit geval is er </w:t>
      </w:r>
      <w:r w:rsidRPr="00021366">
        <w:rPr>
          <w:rFonts w:ascii="Calibri" w:hAnsi="Calibri" w:cs="Calibri"/>
          <w:b/>
          <w:bCs/>
        </w:rPr>
        <w:t>geen zekerheid over de waarheid</w:t>
      </w:r>
      <w:r w:rsidRPr="00021366">
        <w:rPr>
          <w:rFonts w:ascii="Calibri" w:hAnsi="Calibri" w:cs="Calibri"/>
        </w:rPr>
        <w:t xml:space="preserve"> waardoor dit onderzoek eerder bijdraagt aan speculatie dan aan feiten.</w:t>
      </w:r>
    </w:p>
    <w:p w14:paraId="0A56FAA8" w14:textId="650908DC" w:rsidR="007F3D29" w:rsidRPr="00021366" w:rsidRDefault="007F3D29" w:rsidP="007F3D29">
      <w:pPr>
        <w:rPr>
          <w:rFonts w:ascii="Calibri" w:hAnsi="Calibri" w:cs="Calibri"/>
        </w:rPr>
      </w:pPr>
      <w:r w:rsidRPr="00021366">
        <w:rPr>
          <w:rFonts w:ascii="Calibri" w:hAnsi="Calibri" w:cs="Calibri"/>
        </w:rPr>
        <w:t xml:space="preserve">Een betere aanpak was wellicht </w:t>
      </w:r>
      <w:r w:rsidRPr="00021366">
        <w:rPr>
          <w:rFonts w:ascii="Calibri" w:hAnsi="Calibri" w:cs="Calibri"/>
          <w:b/>
          <w:bCs/>
        </w:rPr>
        <w:t>een genuanceerdere publicatie</w:t>
      </w:r>
      <w:r w:rsidRPr="00021366">
        <w:rPr>
          <w:rFonts w:ascii="Calibri" w:hAnsi="Calibri" w:cs="Calibri"/>
        </w:rPr>
        <w:t xml:space="preserve"> waarin duidelijker werd benadrukt dat dit slechts een van de vele mogelijke scenario’s is en dat toekomstig onderzoek nodig blijft om een volledig beeld te krijgen.</w:t>
      </w:r>
    </w:p>
    <w:p w14:paraId="06FA6B44" w14:textId="77777777" w:rsidR="00B412A9" w:rsidRPr="00021366" w:rsidRDefault="00B412A9">
      <w:pPr>
        <w:rPr>
          <w:rFonts w:ascii="Calibri" w:hAnsi="Calibri" w:cs="Calibri"/>
        </w:rPr>
      </w:pPr>
    </w:p>
    <w:sectPr w:rsidR="00B412A9" w:rsidRPr="00021366" w:rsidSect="00306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95E00"/>
    <w:multiLevelType w:val="hybridMultilevel"/>
    <w:tmpl w:val="FBAE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DD131D"/>
    <w:multiLevelType w:val="multilevel"/>
    <w:tmpl w:val="E3C8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A73BA"/>
    <w:multiLevelType w:val="multilevel"/>
    <w:tmpl w:val="DDDE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76117"/>
    <w:multiLevelType w:val="multilevel"/>
    <w:tmpl w:val="D15A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521576">
    <w:abstractNumId w:val="2"/>
  </w:num>
  <w:num w:numId="2" w16cid:durableId="1878657369">
    <w:abstractNumId w:val="3"/>
  </w:num>
  <w:num w:numId="3" w16cid:durableId="768965767">
    <w:abstractNumId w:val="1"/>
  </w:num>
  <w:num w:numId="4" w16cid:durableId="100035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29"/>
    <w:rsid w:val="00021366"/>
    <w:rsid w:val="00031C20"/>
    <w:rsid w:val="000B138D"/>
    <w:rsid w:val="000B7609"/>
    <w:rsid w:val="00207AD1"/>
    <w:rsid w:val="00225CCF"/>
    <w:rsid w:val="002E781C"/>
    <w:rsid w:val="00306577"/>
    <w:rsid w:val="004C5D9D"/>
    <w:rsid w:val="004E0BF8"/>
    <w:rsid w:val="00500FD0"/>
    <w:rsid w:val="006A389B"/>
    <w:rsid w:val="007A7267"/>
    <w:rsid w:val="007F3D29"/>
    <w:rsid w:val="008A15D0"/>
    <w:rsid w:val="009F0FC6"/>
    <w:rsid w:val="00A84337"/>
    <w:rsid w:val="00B412A9"/>
    <w:rsid w:val="00B460A7"/>
    <w:rsid w:val="00B57229"/>
    <w:rsid w:val="00B61ED0"/>
    <w:rsid w:val="00BE0143"/>
    <w:rsid w:val="00BE7A0B"/>
    <w:rsid w:val="00CA65FB"/>
    <w:rsid w:val="00CF4C26"/>
    <w:rsid w:val="00D45615"/>
    <w:rsid w:val="00D83878"/>
    <w:rsid w:val="00DB39C1"/>
    <w:rsid w:val="00E147CC"/>
    <w:rsid w:val="00EE0A75"/>
    <w:rsid w:val="00EE0BFE"/>
    <w:rsid w:val="00EE112E"/>
    <w:rsid w:val="00FC6B7F"/>
  </w:rsids>
  <m:mathPr>
    <m:mathFont m:val="Cambria Math"/>
    <m:brkBin m:val="before"/>
    <m:brkBinSub m:val="--"/>
    <m:smallFrac m:val="0"/>
    <m:dispDef/>
    <m:lMargin m:val="0"/>
    <m:rMargin m:val="0"/>
    <m:defJc m:val="centerGroup"/>
    <m:wrapIndent m:val="1440"/>
    <m:intLim m:val="subSup"/>
    <m:naryLim m:val="undOvr"/>
  </m:mathPr>
  <w:themeFontLang w:val="nl-AW"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25AC"/>
  <w15:chartTrackingRefBased/>
  <w15:docId w15:val="{20AB8FAC-B6B3-40D3-88FD-26BFC1E4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D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F3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F3D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F3D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3D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3D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3D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3D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3D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3D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F3D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F3D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F3D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3D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3D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3D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3D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3D29"/>
    <w:rPr>
      <w:rFonts w:eastAsiaTheme="majorEastAsia" w:cstheme="majorBidi"/>
      <w:color w:val="272727" w:themeColor="text1" w:themeTint="D8"/>
    </w:rPr>
  </w:style>
  <w:style w:type="paragraph" w:styleId="Titel">
    <w:name w:val="Title"/>
    <w:basedOn w:val="Standaard"/>
    <w:next w:val="Standaard"/>
    <w:link w:val="TitelChar"/>
    <w:uiPriority w:val="10"/>
    <w:qFormat/>
    <w:rsid w:val="007F3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3D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3D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3D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3D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3D29"/>
    <w:rPr>
      <w:i/>
      <w:iCs/>
      <w:color w:val="404040" w:themeColor="text1" w:themeTint="BF"/>
    </w:rPr>
  </w:style>
  <w:style w:type="paragraph" w:styleId="Lijstalinea">
    <w:name w:val="List Paragraph"/>
    <w:basedOn w:val="Standaard"/>
    <w:uiPriority w:val="34"/>
    <w:qFormat/>
    <w:rsid w:val="007F3D29"/>
    <w:pPr>
      <w:ind w:left="720"/>
      <w:contextualSpacing/>
    </w:pPr>
  </w:style>
  <w:style w:type="character" w:styleId="Intensievebenadrukking">
    <w:name w:val="Intense Emphasis"/>
    <w:basedOn w:val="Standaardalinea-lettertype"/>
    <w:uiPriority w:val="21"/>
    <w:qFormat/>
    <w:rsid w:val="007F3D29"/>
    <w:rPr>
      <w:i/>
      <w:iCs/>
      <w:color w:val="0F4761" w:themeColor="accent1" w:themeShade="BF"/>
    </w:rPr>
  </w:style>
  <w:style w:type="paragraph" w:styleId="Duidelijkcitaat">
    <w:name w:val="Intense Quote"/>
    <w:basedOn w:val="Standaard"/>
    <w:next w:val="Standaard"/>
    <w:link w:val="DuidelijkcitaatChar"/>
    <w:uiPriority w:val="30"/>
    <w:qFormat/>
    <w:rsid w:val="007F3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3D29"/>
    <w:rPr>
      <w:i/>
      <w:iCs/>
      <w:color w:val="0F4761" w:themeColor="accent1" w:themeShade="BF"/>
    </w:rPr>
  </w:style>
  <w:style w:type="character" w:styleId="Intensieveverwijzing">
    <w:name w:val="Intense Reference"/>
    <w:basedOn w:val="Standaardalinea-lettertype"/>
    <w:uiPriority w:val="32"/>
    <w:qFormat/>
    <w:rsid w:val="007F3D29"/>
    <w:rPr>
      <w:b/>
      <w:bCs/>
      <w:smallCaps/>
      <w:color w:val="0F4761" w:themeColor="accent1" w:themeShade="BF"/>
      <w:spacing w:val="5"/>
    </w:rPr>
  </w:style>
  <w:style w:type="paragraph" w:styleId="Kopvaninhoudsopgave">
    <w:name w:val="TOC Heading"/>
    <w:basedOn w:val="Kop1"/>
    <w:next w:val="Standaard"/>
    <w:uiPriority w:val="39"/>
    <w:unhideWhenUsed/>
    <w:qFormat/>
    <w:rsid w:val="00BE0143"/>
    <w:pPr>
      <w:spacing w:before="240" w:after="0" w:line="259" w:lineRule="auto"/>
      <w:outlineLvl w:val="9"/>
    </w:pPr>
    <w:rPr>
      <w:sz w:val="32"/>
      <w:szCs w:val="32"/>
      <w14:ligatures w14:val="none"/>
    </w:rPr>
  </w:style>
  <w:style w:type="paragraph" w:styleId="Inhopg1">
    <w:name w:val="toc 1"/>
    <w:basedOn w:val="Standaard"/>
    <w:next w:val="Standaard"/>
    <w:autoRedefine/>
    <w:uiPriority w:val="39"/>
    <w:unhideWhenUsed/>
    <w:rsid w:val="00BE0143"/>
    <w:pPr>
      <w:spacing w:after="100"/>
    </w:pPr>
  </w:style>
  <w:style w:type="paragraph" w:styleId="Inhopg3">
    <w:name w:val="toc 3"/>
    <w:basedOn w:val="Standaard"/>
    <w:next w:val="Standaard"/>
    <w:autoRedefine/>
    <w:uiPriority w:val="39"/>
    <w:unhideWhenUsed/>
    <w:rsid w:val="00BE0143"/>
    <w:pPr>
      <w:spacing w:after="100"/>
      <w:ind w:left="480"/>
    </w:pPr>
  </w:style>
  <w:style w:type="character" w:styleId="Hyperlink">
    <w:name w:val="Hyperlink"/>
    <w:basedOn w:val="Standaardalinea-lettertype"/>
    <w:uiPriority w:val="99"/>
    <w:unhideWhenUsed/>
    <w:rsid w:val="00BE014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4054">
      <w:bodyDiv w:val="1"/>
      <w:marLeft w:val="0"/>
      <w:marRight w:val="0"/>
      <w:marTop w:val="0"/>
      <w:marBottom w:val="0"/>
      <w:divBdr>
        <w:top w:val="none" w:sz="0" w:space="0" w:color="auto"/>
        <w:left w:val="none" w:sz="0" w:space="0" w:color="auto"/>
        <w:bottom w:val="none" w:sz="0" w:space="0" w:color="auto"/>
        <w:right w:val="none" w:sz="0" w:space="0" w:color="auto"/>
      </w:divBdr>
    </w:div>
    <w:div w:id="75847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E0760-1529-4FD5-88FF-EFD051CE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1311</Words>
  <Characters>7211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 Posthuma Linthorst</dc:creator>
  <cp:keywords/>
  <dc:description/>
  <cp:lastModifiedBy>P.R. Posthuma Linthorst</cp:lastModifiedBy>
  <cp:revision>27</cp:revision>
  <dcterms:created xsi:type="dcterms:W3CDTF">2025-02-21T13:46:00Z</dcterms:created>
  <dcterms:modified xsi:type="dcterms:W3CDTF">2025-03-09T23:09:00Z</dcterms:modified>
</cp:coreProperties>
</file>